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228dc248149c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36688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BUKOVLJE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1.178.539,20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1.329.269,18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1.008.716,68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1.290.821,46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169.822,52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38.447,72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190.695,08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160.853,35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189.355,08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160.853,35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19.532,56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72.405,63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370,7</w:t>
            </w:r>
          </w:p>
        </w:tc>
      </w:tr>
    </w:tbl>
    <w:p>
      <w:pPr>
        <w:spacing w:before="0" w:after="0"/>
      </w:pPr>
    </w:p>
    <w:p>
      <w:r>
        <w:t xml:space="preserve">Općina Bukovlje nema proračunskih korisnika za konsolidaciju pa su izvještaji identični onima razine 22.</w:t>
      </w:r>
    </w:p>
    <w:p>
      <w:r>
        <w:t xml:space="preserve">Manjak prihoda poslovanja ostvaren u iznosu od 72.405,63 eura,  nastao je kao metodološka posljedica načina evidentiranja poslovnih promjena u proračunskom računovodstvu. Rashodi za zaposlene i materijalni rashodi priznaju se u trenutku njihova nastanka. Slijedom navedenoga, iskazani manjak predstavlja privremenu računovodstvenu kategoriju nastalu zbog vremenskog nesklada između priznavanja rashoda u izvještajnom obračunskom razdoblju,i ne predstavlja stvarni nedostatak sredstava.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195.525,40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Ministarstvo turizma i sporta sufinancira rekonstrukciju malonogometnog igrališta s pripadajućom građevinom u Općini Bukovlje (Stadionska ulica 18, k.č. 1097/33, k.o. Bukovlje). Projekt je uvršten u Program javnih potreba u sportu za 2026. godinu s iznosom od 195.525,40 eura koje su uplaćeni 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207.659,89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237.041,77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Projekt „Ostanimo u zajednici” u sklopu programa „Zaželi – prevencija institucionalizacije, sredstva u ovom izvještajnom razdoblju uplaćena u iznosu od 237.041,77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215,5</w:t>
            </w:r>
          </w:p>
        </w:tc>
      </w:tr>
    </w:tbl>
    <w:p>
      <w:pPr>
        <w:spacing w:before="0" w:after="0"/>
      </w:pPr>
    </w:p>
    <w:p>
      <w:r>
        <w:t xml:space="preserve">U 2026.g ovaj prihod je ostvaren u nešto većem iznosu, indeks 215,5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1.008.716,68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1.290.821,46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</w:tbl>
    <w:p>
      <w:pPr>
        <w:spacing w:before="0" w:after="0"/>
      </w:pPr>
    </w:p>
    <w:p>
      <w:r>
        <w:t xml:space="preserve">Nešto veće ostvarenje rashoda poslovanja u odnosu na referentno razdoblje, radi pokretanja novih projektnih aktivnosti,  Indeksi 128,0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284.462,45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273.096,89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</w:tbl>
    <w:p>
      <w:pPr>
        <w:spacing w:before="0" w:after="0"/>
      </w:pPr>
    </w:p>
    <w:p>
      <w:r>
        <w:t xml:space="preserve">Smanjenje ukupnih izdvajanja za zaposlene, razlog tome da  nakon izbora 2025.g. novoizabrani načelnik radi kao volonter uz naknadu koja se evidentira na drugoj vrsti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50.966,51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175.517,08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344,4</w:t>
            </w:r>
          </w:p>
        </w:tc>
      </w:tr>
    </w:tbl>
    <w:p>
      <w:pPr>
        <w:spacing w:before="0" w:after="0"/>
      </w:pPr>
    </w:p>
    <w:p>
      <w:r>
        <w:t xml:space="preserve">Ostvarenje ove stavke od 175.517,08 eura odnosi  se na pojačane komunalne aktivnosti uređenje javnih  i ostalih površina ( krčenja, malčiranja), povećano izdvajanje za troškove dezinsekcije i deratizacije te za ostale komunalne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42.884,25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70.454,84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164,3</w:t>
            </w:r>
          </w:p>
        </w:tc>
      </w:tr>
    </w:tbl>
    <w:p>
      <w:pPr>
        <w:spacing w:before="0" w:after="0"/>
      </w:pPr>
    </w:p>
    <w:p>
      <w:r>
        <w:t xml:space="preserve">Povećanje ove stavke, u odnosu na prethodnu godinu, ostvareno 70.454,84 eura, indeks 164,3. odnosi se na izdvajanje sredstava za  odvjetničke usluge, geodetske usluge, usluge izrade procjena koje se tiču novih projekata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1084,4</w:t>
            </w:r>
          </w:p>
        </w:tc>
      </w:tr>
    </w:tbl>
    <w:p>
      <w:pPr>
        <w:spacing w:before="0" w:after="0"/>
      </w:pPr>
    </w:p>
    <w:p>
      <w:r>
        <w:t xml:space="preserve">Ostvarenje u iznosu 5.043,46 eura odnosi se na sva osiguranja prijevoznih sredstava, a u najvećem dijelu imovine općine, što u prethodnoj godini nije bio slučaj. Indeks 1084,4.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sa ove stavke odnose se na plaćene kamate banci  zbog kratkoročnog kreditnog zaduženja općine iz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63.413,33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1510,4</w:t>
            </w:r>
          </w:p>
        </w:tc>
      </w:tr>
    </w:tbl>
    <w:p>
      <w:pPr>
        <w:spacing w:before="0" w:after="0"/>
      </w:pPr>
    </w:p>
    <w:p>
      <w:r>
        <w:t xml:space="preserve">Sredstva na ovoj stavci odnose se na evidentiranje pomoći prema drugim proračunima i proračunskim korisnicima. Indeks 1510,4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254,4</w:t>
            </w:r>
          </w:p>
        </w:tc>
      </w:tr>
    </w:tbl>
    <w:p>
      <w:pPr>
        <w:spacing w:before="0" w:after="0"/>
      </w:pPr>
    </w:p>
    <w:p>
      <w:r>
        <w:t xml:space="preserve">Sredstva na ovoj stavci odnose se na evidentiranje rashoda  prema Gradu Slavonskom Brodu, a za sufinanciranje prijevoza učenika osnovne škole sa područja općine Bukovlje, a koji pohađaju područnu školu iz nadležnosti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53.826,13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Sredstva na ovoj stavci odnose se na plaćanje korištenja sportske dvorane škole u vlasništvu grada i  evidentirani sporazum JVP grada Slavonskog Broda i općine za izdvajanje sredstva za rad JVP, budući da općina nema DVD-ova. To je zakonska obveza općine, a u prethodnoj godini je bila evidentirana na drugoj vrsti rashoda.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47.819,75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57.816,63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U odnosu na prethodnu godinu povećana su i pojačana izdvajanja za naknade građanima i kućanstvima; jednokratne pomoći, naknade za rođenje djeteta, sufinanciranje boravka u vrtiću,  produženog boravka u osnovnoj školi i dr. Indeks 132,7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119.106,39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158.055,10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r>
        <w:t xml:space="preserve">U odnosu na prethodnu godinu povećana su i pojačana izdvajanja za naknade građanima i kućanstvima u naravi: sufinanciranje prijevoza , sufinanciranje vrića  (prema ustanovama), nabava opreme za rođenje djeteta i slično.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87.370,91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149.808,71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171,5</w:t>
            </w:r>
          </w:p>
        </w:tc>
      </w:tr>
    </w:tbl>
    <w:p>
      <w:pPr>
        <w:spacing w:before="0" w:after="0"/>
      </w:pPr>
    </w:p>
    <w:p>
      <w:r>
        <w:t xml:space="preserve">Ostvarenje ove stavke odnosi se na povećanje iznosa izdvajanja za radu udruga sa područja općine ,ali i izvan nje, te za rad trgovačkom društva kojem je osnivač općina. Indeks 171,5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8360,7</w:t>
            </w:r>
          </w:p>
        </w:tc>
      </w:tr>
    </w:tbl>
    <w:p>
      <w:pPr>
        <w:spacing w:before="0" w:after="0"/>
      </w:pPr>
    </w:p>
    <w:p>
      <w:r>
        <w:t xml:space="preserve">Izdvojena sredstva na ovoj stavci odnose se na prijenos sredstava trgovačkom društvu za nastavak izgradnje vodovodne mreže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169.822,52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38.447,72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22,6</w:t>
            </w:r>
          </w:p>
        </w:tc>
      </w:tr>
    </w:tbl>
    <w:p>
      <w:pPr>
        <w:spacing w:before="0" w:after="0"/>
      </w:pPr>
    </w:p>
    <w:p>
      <w:r>
        <w:t xml:space="preserve">U odnosu na prethodnu godinu općina je ostvarila smanjeni višak prihoda poslovanja, što je rezultat povećanih aktivnosti u radu pa tako i veće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521,7</w:t>
            </w:r>
          </w:p>
        </w:tc>
      </w:tr>
    </w:tbl>
    <w:p>
      <w:pPr>
        <w:spacing w:before="0" w:after="0"/>
      </w:pPr>
    </w:p>
    <w:p>
      <w:r>
        <w:t xml:space="preserve">Izrada dokumenata prostornog uređenja- E planovi, sredstva osigurana u državnom proračunu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Evidentirano je novo kratkoročno zaduženje  općine u iznosu od 200.000,00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zajmova od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je i otplata kratkoročnog zaduženja općine iz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138.476,06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 je manjak prihoda i primitaka za pokriće u slijedećem razdoblju, a rezultat je to povećanih aktivnosti rada općine, a slabijeg planiranog priljeva sredstava na račun općine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117.467,53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iznosu od 117.467,53 eura, nastale su iz razloga slabijeg priljeva sredstava na račun općine, a uslijed povrata sredstava po godišnjim prijavama poreza na dohodak za 2025.g. Do sastavljanja izvještaja sve su obveze gotovo u cijelosti podmirene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293.178,46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Unutar stanja nedospjelih obveza nalaze se; plaće zaposlenih općine i u projektu,  za lipanj 2026, nedospjela glavnica kratkoročnog zaduženja, te nedospjele materijalne obveze proračuna koje su kao rashodi evidentirane u izvještajnom razdoblju, ali su fizički u općinu pristigli početkom srpnja.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0141d97f6c4267" /></Relationships>
</file>