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567e26c594f1b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36688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BUKOVLJE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1.656.981,33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2.030.975,72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1.490.854,50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1.936.993,62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166.126,83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93.982,10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437.618,42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292.744,24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436.278,42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292.744,24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67,1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40,0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120.151,59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138.762,14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115,5</w:t>
            </w:r>
          </w:p>
        </w:tc>
      </w:tr>
    </w:tbl>
    <w:p>
      <w:pPr>
        <w:spacing w:before="0" w:after="0"/>
      </w:pPr>
    </w:p>
    <w:p>
      <w:r>
        <w:t xml:space="preserve">Općina Bukovlje je u izvještajnom razdoblju ostvarila manjak prihoda u iznosu 138.762,14 eura koji je rezultat sučeljavanje ukupno ostvarenih prihoda i rashoda. 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1.656.981,33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2.030.975,72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122,6</w:t>
            </w:r>
          </w:p>
        </w:tc>
      </w:tr>
    </w:tbl>
    <w:p>
      <w:pPr>
        <w:spacing w:before="0" w:after="0"/>
      </w:pPr>
    </w:p>
    <w:p>
      <w:r>
        <w:t xml:space="preserve">Ukupno povećanje ostavrenih prihoda  poslovanja u odnosu na prethodnu godinu, radi povećanog priljeva sredstava iz Državnog proračuna. Indeks 122,6, ostvarenje 2.030.975,72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Povrat poreza na dohodak po godišnjoj prijavi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180.940,05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238.349,18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131,7</w:t>
            </w:r>
          </w:p>
        </w:tc>
      </w:tr>
    </w:tbl>
    <w:p>
      <w:pPr>
        <w:spacing w:before="0" w:after="0"/>
      </w:pPr>
    </w:p>
    <w:p>
      <w:r>
        <w:t xml:space="preserve">Povećan je povrat poreza na dohodak po godišnjim prijavama u osnodu na prethodnu godinu, indeks 131,7, izvršenje 238.349,18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195.525,40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Ostvareni prihod na ovoj stavci odnose se na prihod od Ministarstva sporta za rekonstrukcije prostora NK Slavonca iz Bukovlja, ostavreno je 195.525,40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277.148,14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362.141,77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130,7</w:t>
            </w:r>
          </w:p>
        </w:tc>
      </w:tr>
    </w:tbl>
    <w:p>
      <w:pPr>
        <w:spacing w:before="0" w:after="0"/>
      </w:pPr>
    </w:p>
    <w:p>
      <w:r>
        <w:t xml:space="preserve">Nešto veće ostavrenja EU prihoda projekta Zaželi u odnosu na prethodnu godinu, indek 130,7 , izvršenje 362.141,77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šume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3.585,48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5.256,00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146,6</w:t>
            </w:r>
          </w:p>
        </w:tc>
      </w:tr>
    </w:tbl>
    <w:p>
      <w:pPr>
        <w:spacing w:before="0" w:after="0"/>
      </w:pPr>
    </w:p>
    <w:p>
      <w:r>
        <w:t xml:space="preserve">Doprinos za šume ostvaren je indeksom 146,6, ili 5.256,00 eura u odnosu na prethodnu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1.490.854,50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1.936.993,62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129,9</w:t>
            </w:r>
          </w:p>
        </w:tc>
      </w:tr>
    </w:tbl>
    <w:p>
      <w:pPr>
        <w:spacing w:before="0" w:after="0"/>
      </w:pPr>
    </w:p>
    <w:p>
      <w:r>
        <w:t xml:space="preserve">Rashodi poslovanja ostvareni u većem iznosu radi pojačanih aktivnosti u radu općine, indes 129,9, ostvarenje 1.936.993,62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rashodi za zaposlene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34.098,31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184,3</w:t>
            </w:r>
          </w:p>
        </w:tc>
      </w:tr>
    </w:tbl>
    <w:p>
      <w:pPr>
        <w:spacing w:before="0" w:after="0"/>
      </w:pPr>
    </w:p>
    <w:p>
      <w:r>
        <w:t xml:space="preserve">Ostali rashodi za zaposlene u odnosu na prethodnu godinu povećani na 34.098,31 eura, indeks 184,3 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27.410,36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46.154,81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168,4</w:t>
            </w:r>
          </w:p>
        </w:tc>
      </w:tr>
    </w:tbl>
    <w:p>
      <w:pPr>
        <w:spacing w:before="0" w:after="0"/>
      </w:pPr>
    </w:p>
    <w:p>
      <w:r>
        <w:t xml:space="preserve">Povećani su rashodi promidžbe i  informiranjaj općine, indeks 168,4 , ostvareno 46.154,81 eura. Odnose se na troškove objave akata u sl.vjesniku,medije, tisak, promidžbeni materijal i ostale usluge promidžbe.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83.945,00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278.617,66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331,9</w:t>
            </w:r>
          </w:p>
        </w:tc>
      </w:tr>
    </w:tbl>
    <w:p>
      <w:pPr>
        <w:spacing w:before="0" w:after="0"/>
      </w:pPr>
    </w:p>
    <w:p>
      <w:r>
        <w:t xml:space="preserve">Komunalen usluge povećanje radi pojačanih komunalnih usluga održavanja javnih površine općine. Indeks 331,9, ostvareno 278.617,66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72.421,81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104.398,37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144,2</w:t>
            </w:r>
          </w:p>
        </w:tc>
      </w:tr>
    </w:tbl>
    <w:p>
      <w:pPr>
        <w:spacing w:before="0" w:after="0"/>
      </w:pPr>
    </w:p>
    <w:p>
      <w:r>
        <w:t xml:space="preserve">Povećanje ove vrste usluga radi povećanih izdataka za geodetske usluge na području općine, usluge odvjetnika, izrade strategije urbane zelene obnove, sređivanje arhivske građe, održavanje STEAM radionice i izrade raznih pdologa za projekte i slično. Indeks 144,2, ostvareno 104.398,37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troškova osobama izvan radnog odnosa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912,12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4.376,89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479,9</w:t>
            </w:r>
          </w:p>
        </w:tc>
      </w:tr>
    </w:tbl>
    <w:p>
      <w:pPr>
        <w:spacing w:before="0" w:after="0"/>
      </w:pPr>
    </w:p>
    <w:p>
      <w:r>
        <w:t xml:space="preserve">Na ovoj stavci evidentirani su rashodi za loko vožnju načelnika u bruto iznosu,jer načelnik nije zaposlena osoba u općini. Indeks 479,9, ostvareno 4.376,89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32.014,00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18.574,20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58,0</w:t>
            </w:r>
          </w:p>
        </w:tc>
      </w:tr>
    </w:tbl>
    <w:p>
      <w:pPr>
        <w:spacing w:before="0" w:after="0"/>
      </w:pPr>
    </w:p>
    <w:p>
      <w:r>
        <w:t xml:space="preserve">Smanjenje ove stavke u odnosu na prethodnu godinu, jer su u prošloj godini ovdje evidentirani troškovi birački odbora za održane izvore, dok ih ove godine nema. Ova stavka sadri troškoe za naknade za rad općinskih vjećnika. Indeks 58,00, ostvareno 18.574,20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19.193,90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47.334,60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246,6</w:t>
            </w:r>
          </w:p>
        </w:tc>
      </w:tr>
    </w:tbl>
    <w:p>
      <w:pPr>
        <w:spacing w:before="0" w:after="0"/>
      </w:pPr>
    </w:p>
    <w:p>
      <w:r>
        <w:t xml:space="preserve">Povećani troškovi reprezentacije uu odnosu na prethodnu godinu, radi održavanja raznih manifestacija i gostovanja. Indeks 246,6 , ostvareno 47.334,60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od kreditnih i ostalih financijskih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3.763,44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3046,6</w:t>
            </w:r>
          </w:p>
        </w:tc>
      </w:tr>
    </w:tbl>
    <w:p>
      <w:pPr>
        <w:spacing w:before="0" w:after="0"/>
      </w:pPr>
    </w:p>
    <w:p>
      <w:r>
        <w:t xml:space="preserve">Veći su izdaci za kamate za primljene kratkoročne zajmove od matične banke. Indeks 3046,6, ostavareno 3.763,44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drugom proračunu i izvanproračunskim korisnicima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5.901,30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11.261,30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190,8</w:t>
            </w:r>
          </w:p>
        </w:tc>
      </w:tr>
    </w:tbl>
    <w:p>
      <w:pPr>
        <w:spacing w:before="0" w:after="0"/>
      </w:pPr>
    </w:p>
    <w:p>
      <w:r>
        <w:t xml:space="preserve">Tekuće pomoći gradskom proračunskom korisniku za sufinanciranje cijene prijevoza učenika osnovne škole, kojoj je matična škola proračunski korisnik Grada Slavonskog Broda. Indeks 190,8, izvršenje 11.261,30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461,97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53.826,13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</w:tbl>
    <w:p>
      <w:pPr>
        <w:spacing w:before="0" w:after="0"/>
      </w:pPr>
    </w:p>
    <w:p>
      <w:r>
        <w:t xml:space="preserve">Sredstva na ovoj stavci odnose se na sufinanciranje troškova najma školske dvorane, te sredstva po sporazumu za JVP Grada Slavonskog Broda.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60.079,61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74.617,79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124,2</w:t>
            </w:r>
          </w:p>
        </w:tc>
      </w:tr>
    </w:tbl>
    <w:p>
      <w:pPr>
        <w:spacing w:before="0" w:after="0"/>
      </w:pPr>
    </w:p>
    <w:p>
      <w:r>
        <w:t xml:space="preserve">Povećana izdvajanja na ovoj stavci, radi povećanih iznosa naknada za jednokratne pomoći, pomoći studentima i naknade za rođenje djeteta. Indeks 124,2, ostvareno 74.617,79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189.515,82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238.250,53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125,7</w:t>
            </w:r>
          </w:p>
        </w:tc>
      </w:tr>
    </w:tbl>
    <w:p>
      <w:pPr>
        <w:spacing w:before="0" w:after="0"/>
      </w:pPr>
    </w:p>
    <w:p>
      <w:r>
        <w:t xml:space="preserve">Povećana izdvajanja za financiranje besplatnog prijevoza građana, te izdvajanja za plaćanje boravka u vrtićima. Indeks 125,7, ostvareno 238.250,53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u novcu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102.900,08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185.829,52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180,6</w:t>
            </w:r>
          </w:p>
        </w:tc>
      </w:tr>
    </w:tbl>
    <w:p>
      <w:pPr>
        <w:spacing w:before="0" w:after="0"/>
      </w:pPr>
    </w:p>
    <w:p>
      <w:r>
        <w:t xml:space="preserve">Povećana su izdvajanja za tekuće donacije udrugama sa i izvann područja općine. Indeks 180,6.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donacije građanima i kućanstvima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5.889,18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Kapitalne donacije odnose se na kapitalne prijenose sredstva za obnovu građ objekata osobama  slabijeg imovinskog statusa.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kreditnim i ostalim financijskim institucijama te trgovačkim društvima i zadrugama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9.175,62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28.769,40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313,5</w:t>
            </w:r>
          </w:p>
        </w:tc>
      </w:tr>
    </w:tbl>
    <w:p>
      <w:pPr>
        <w:spacing w:before="0" w:after="0"/>
      </w:pPr>
    </w:p>
    <w:p>
      <w:r>
        <w:t xml:space="preserve">Sredstva ove stavke odnose se na kapitalne pomoći trgovačkom društvu kojem je općina osnivač, te na doznake sredstava komunalnom poduzeća za izgradnju vodovoda. Indeks 313,5, ostvareno 28.769,40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78.026,26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149.534,21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191,6</w:t>
            </w:r>
          </w:p>
        </w:tc>
      </w:tr>
    </w:tbl>
    <w:p>
      <w:pPr>
        <w:spacing w:before="0" w:after="0"/>
      </w:pPr>
    </w:p>
    <w:p>
      <w:r>
        <w:t xml:space="preserve">Ostali građevinski objekti bilježe povećanje ostvarenja u odnosu na prethodnu godinu. Razlog za to su  izgradnja dječjeg igrališta u Korduševcima, malonogometnog igrališta, parkirališta u Šušnjevcima i dr. Indeks 191,6, ostvareno 149.534,21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Umjetnička, literarna i znanstvena djela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521,7</w:t>
            </w:r>
          </w:p>
        </w:tc>
      </w:tr>
    </w:tbl>
    <w:p>
      <w:pPr>
        <w:spacing w:before="0" w:after="0"/>
      </w:pPr>
    </w:p>
    <w:p>
      <w:r>
        <w:t xml:space="preserve">Na ovoj stavci evidentirani su rashodi izmejna i dopuna prostornog plana općine-e planovi.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173,3</w:t>
            </w:r>
          </w:p>
        </w:tc>
      </w:tr>
    </w:tbl>
    <w:p>
      <w:pPr>
        <w:spacing w:before="0" w:after="0"/>
      </w:pPr>
    </w:p>
    <w:p>
      <w:r>
        <w:t xml:space="preserve">Primljeni krediti odnose se na primljenu kratkoročnu pozajmicu od matične banke u iznsou od 260.000,00 eura, indeks 173,3.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Otplata glavnice primljenih kredita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Povrat primljene prošlogodišnje kratkoročne pozajmice, te dijela ovogodišnje, koja je primljena od matične banke.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204.832,57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Ostvaren je ukupni manjak prihoda koji će se pokriti u narednom razdoblju, iznos 204.832,57 eura.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31.903,51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Stanje dospjelih obveza na dan 30.9.2026. bilo je 31.903,51 eura, i te su obveze podmirene početkom mjeseca listopada. Razlog ovog stanja je slabiji priljev očekivanih proračunskih prihoda tijekom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426.979,88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odnose se na plaće za rujan 2026.g, režije i ostale obveze koju su teretile izvještajno razdoblje, a podmirit će se u nadolazećem razdoblju.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financijsku imovinu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 dio 25,26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210.000,00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Nedospjela glavnica primljene kratkoročne pozajmice/kredita.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ovom izvještaju bilježimo ostavarene prihode, rashode, potraživanja i stanja po ugovorima o dodjeljenim bespovratnim EU sredstvima. Općina Bukovlje u 2026.g bilježi nastavak projekta Zaželi (Europski socijaloni fond) i početak projekta Rekonstrukcija doma u Vranovcima (Europski fond za regionalni razvoj).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e2483ba59843cf" /></Relationships>
</file>